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050C" w14:textId="12E20179" w:rsidR="009A2BF4" w:rsidRPr="00372186" w:rsidRDefault="009A2BF4" w:rsidP="009A2BF4">
      <w:pPr>
        <w:jc w:val="center"/>
        <w:rPr>
          <w:b/>
          <w:bCs/>
          <w:sz w:val="26"/>
          <w:szCs w:val="26"/>
        </w:rPr>
      </w:pPr>
      <w:proofErr w:type="gramStart"/>
      <w:r w:rsidRPr="00372186">
        <w:rPr>
          <w:b/>
          <w:bCs/>
          <w:sz w:val="26"/>
          <w:szCs w:val="26"/>
        </w:rPr>
        <w:t>At a Glance</w:t>
      </w:r>
      <w:proofErr w:type="gramEnd"/>
      <w:r w:rsidRPr="00372186">
        <w:rPr>
          <w:b/>
          <w:bCs/>
          <w:sz w:val="26"/>
          <w:szCs w:val="26"/>
        </w:rPr>
        <w:t>: Climate Governance</w:t>
      </w:r>
    </w:p>
    <w:p w14:paraId="4A6FB894" w14:textId="7BB7AA1D" w:rsidR="002A3A49" w:rsidRPr="009A2BF4" w:rsidRDefault="002A3A49">
      <w:pPr>
        <w:rPr>
          <w:b/>
          <w:bCs/>
        </w:rPr>
      </w:pPr>
      <w:r w:rsidRPr="009A2BF4">
        <w:rPr>
          <w:b/>
          <w:bCs/>
        </w:rPr>
        <w:t>Why Climate Governance?</w:t>
      </w:r>
    </w:p>
    <w:p w14:paraId="547326FC" w14:textId="344CA463" w:rsidR="002A3A49" w:rsidRPr="009A2BF4" w:rsidRDefault="2632360F" w:rsidP="002A3A49">
      <w:pPr>
        <w:jc w:val="both"/>
      </w:pPr>
      <w:r>
        <w:t xml:space="preserve">Increasingly, investors expect companies to integrate climate risks into business strategy, </w:t>
      </w:r>
      <w:proofErr w:type="gramStart"/>
      <w:r>
        <w:t>culture</w:t>
      </w:r>
      <w:proofErr w:type="gramEnd"/>
      <w:r>
        <w:t xml:space="preserve"> and values. </w:t>
      </w:r>
      <w:r w:rsidR="4DE87973">
        <w:t xml:space="preserve">This </w:t>
      </w:r>
      <w:r w:rsidR="61EE9966">
        <w:t xml:space="preserve">has led to </w:t>
      </w:r>
      <w:r w:rsidR="2E460EE4">
        <w:t xml:space="preserve">an </w:t>
      </w:r>
      <w:r>
        <w:t>emphasis on governance</w:t>
      </w:r>
      <w:r w:rsidR="4F4CB41D">
        <w:t>,</w:t>
      </w:r>
      <w:r>
        <w:t xml:space="preserve"> risk management,</w:t>
      </w:r>
      <w:r w:rsidR="4F4CB41D">
        <w:t xml:space="preserve"> and reporting</w:t>
      </w:r>
      <w:r w:rsidR="34A70541">
        <w:t xml:space="preserve"> –</w:t>
      </w:r>
      <w:r>
        <w:t xml:space="preserve"> recommending</w:t>
      </w:r>
      <w:r w:rsidR="34A70541">
        <w:t xml:space="preserve"> </w:t>
      </w:r>
      <w:r>
        <w:t xml:space="preserve">that companies use climate scenario analysis to describe the potential impact of different </w:t>
      </w:r>
      <w:r w:rsidR="34A70541">
        <w:t>possible</w:t>
      </w:r>
      <w:r w:rsidR="6F99F421">
        <w:t xml:space="preserve"> outcomes</w:t>
      </w:r>
      <w:r>
        <w:t xml:space="preserve"> on the organization’s performance, </w:t>
      </w:r>
      <w:proofErr w:type="gramStart"/>
      <w:r>
        <w:t>strategy</w:t>
      </w:r>
      <w:proofErr w:type="gramEnd"/>
      <w:r>
        <w:t xml:space="preserve"> and financial planning.</w:t>
      </w:r>
    </w:p>
    <w:p w14:paraId="60AB6491" w14:textId="379719DE" w:rsidR="002A3A49" w:rsidRPr="009A2BF4" w:rsidRDefault="2632360F" w:rsidP="002A3A49">
      <w:pPr>
        <w:jc w:val="both"/>
      </w:pPr>
      <w:r>
        <w:t xml:space="preserve">Simultaneously, several international initiatives </w:t>
      </w:r>
      <w:r w:rsidR="190C160D">
        <w:t>guide</w:t>
      </w:r>
      <w:r>
        <w:t xml:space="preserve"> companies </w:t>
      </w:r>
      <w:r w:rsidR="1DDE4192">
        <w:t>in</w:t>
      </w:r>
      <w:r>
        <w:t xml:space="preserve"> navigat</w:t>
      </w:r>
      <w:r w:rsidR="452D8F9B">
        <w:t>ing</w:t>
      </w:r>
      <w:r>
        <w:t xml:space="preserve"> regulations, </w:t>
      </w:r>
      <w:proofErr w:type="gramStart"/>
      <w:r>
        <w:t>standards</w:t>
      </w:r>
      <w:proofErr w:type="gramEnd"/>
      <w:r>
        <w:t xml:space="preserve"> and frameworks, and help them understand how to communicate and disclose risks and opportunities associated with climate change (e.g., Task Force on Climate-related Financial Disclosures (TCFD), CDP (previously known as the Carbon Disclosure Project), Principles for Responsible Investment and the IFRS Sustainability Standards Board forthcoming IFRS S2 Climate-related Disclosures).</w:t>
      </w:r>
      <w:r w:rsidR="002A3A49" w:rsidRPr="42B523E3">
        <w:rPr>
          <w:rStyle w:val="FootnoteReference"/>
        </w:rPr>
        <w:footnoteReference w:id="2"/>
      </w:r>
    </w:p>
    <w:p w14:paraId="2A3DF268" w14:textId="2680ED01" w:rsidR="002A3A49" w:rsidRPr="009A2BF4" w:rsidRDefault="2632360F" w:rsidP="002A3A49">
      <w:pPr>
        <w:jc w:val="both"/>
      </w:pPr>
      <w:proofErr w:type="gramStart"/>
      <w:r>
        <w:t>In light of</w:t>
      </w:r>
      <w:proofErr w:type="gramEnd"/>
      <w:r>
        <w:t xml:space="preserve"> these developments, the need for corporate governance frameworks to assist companies in tackling climate change has emerged</w:t>
      </w:r>
      <w:r w:rsidR="2B925894">
        <w:t xml:space="preserve"> as a precondition to </w:t>
      </w:r>
      <w:r w:rsidR="02A9D13F">
        <w:t xml:space="preserve">implementing </w:t>
      </w:r>
      <w:r w:rsidR="2B925894">
        <w:t>company-level climate actions</w:t>
      </w:r>
      <w:r>
        <w:t xml:space="preserve">. As a central pillar of climate (corporate) governance, there is an expectation </w:t>
      </w:r>
      <w:r w:rsidR="02A9D13F">
        <w:t>of having</w:t>
      </w:r>
      <w:r>
        <w:t xml:space="preserve"> ‘climate competent’ boards who will </w:t>
      </w:r>
      <w:r w:rsidR="02A9D13F">
        <w:t>understand not only the challenges that climate change presents</w:t>
      </w:r>
      <w:r>
        <w:t xml:space="preserve"> but also the opportunities as transition plans become requirements, driven by </w:t>
      </w:r>
      <w:r w:rsidR="0D25D75C">
        <w:t xml:space="preserve">the </w:t>
      </w:r>
      <w:r>
        <w:t>'Race to Zero' launched at COP26</w:t>
      </w:r>
      <w:r w:rsidR="0D25D75C">
        <w:t xml:space="preserve"> in 2021</w:t>
      </w:r>
      <w:r>
        <w:t>.</w:t>
      </w:r>
    </w:p>
    <w:p w14:paraId="6877034F" w14:textId="3B08DA5C" w:rsidR="0058776A" w:rsidRPr="009A2BF4" w:rsidRDefault="0058776A">
      <w:pPr>
        <w:rPr>
          <w:b/>
          <w:bCs/>
        </w:rPr>
      </w:pPr>
      <w:r w:rsidRPr="009A2BF4">
        <w:rPr>
          <w:b/>
          <w:bCs/>
        </w:rPr>
        <w:t>What is IFC’s Approach to Climate Governance?</w:t>
      </w:r>
    </w:p>
    <w:p w14:paraId="66D31440" w14:textId="4493F5CB" w:rsidR="0058776A" w:rsidRPr="009A2BF4" w:rsidRDefault="4C52212C" w:rsidP="0058776A">
      <w:pPr>
        <w:rPr>
          <w:lang w:val="en-TT"/>
        </w:rPr>
      </w:pPr>
      <w:r>
        <w:t xml:space="preserve">IFC’s climate governance approach is a set of activities and tools </w:t>
      </w:r>
      <w:r w:rsidR="0D25D75C">
        <w:t>supporting</w:t>
      </w:r>
      <w:r>
        <w:t xml:space="preserve"> the </w:t>
      </w:r>
      <w:hyperlink r:id="rId7">
        <w:r w:rsidR="2632360F" w:rsidRPr="42B523E3">
          <w:rPr>
            <w:rStyle w:val="Hyperlink"/>
          </w:rPr>
          <w:t xml:space="preserve">WBG </w:t>
        </w:r>
        <w:r w:rsidR="7E0D3BB7" w:rsidRPr="42B523E3">
          <w:rPr>
            <w:rStyle w:val="Hyperlink"/>
          </w:rPr>
          <w:t xml:space="preserve">2021-2025 </w:t>
        </w:r>
        <w:r w:rsidRPr="42B523E3">
          <w:rPr>
            <w:rStyle w:val="Hyperlink"/>
          </w:rPr>
          <w:t xml:space="preserve">Climate </w:t>
        </w:r>
        <w:r w:rsidR="7E0D3BB7" w:rsidRPr="42B523E3">
          <w:rPr>
            <w:rStyle w:val="Hyperlink"/>
          </w:rPr>
          <w:t>Change Action Plan</w:t>
        </w:r>
      </w:hyperlink>
      <w:r w:rsidR="2B925894">
        <w:t xml:space="preserve">, specifically </w:t>
      </w:r>
      <w:r w:rsidR="373BB084">
        <w:t>contributing to</w:t>
      </w:r>
      <w:r w:rsidR="2B925894">
        <w:t xml:space="preserve"> the goal of</w:t>
      </w:r>
      <w:r w:rsidR="7E0D3BB7">
        <w:t xml:space="preserve"> mobilizing and catalyzing private capital and IFC’s </w:t>
      </w:r>
      <w:r w:rsidR="223A4396">
        <w:t>climate agenda. It focuses on</w:t>
      </w:r>
      <w:r>
        <w:t xml:space="preserve"> </w:t>
      </w:r>
      <w:r w:rsidR="0D25D75C">
        <w:t>creating</w:t>
      </w:r>
      <w:r w:rsidRPr="42B523E3">
        <w:rPr>
          <w:lang w:val="en-TT"/>
        </w:rPr>
        <w:t xml:space="preserve"> </w:t>
      </w:r>
      <w:r w:rsidR="2B925894" w:rsidRPr="42B523E3">
        <w:rPr>
          <w:lang w:val="en-TT"/>
        </w:rPr>
        <w:t xml:space="preserve">company-level </w:t>
      </w:r>
      <w:r w:rsidRPr="42B523E3">
        <w:rPr>
          <w:lang w:val="en-TT"/>
        </w:rPr>
        <w:t xml:space="preserve">governance structures and processes needed for climate risk management and adaptation. IFC has used its </w:t>
      </w:r>
      <w:hyperlink r:id="rId8">
        <w:r w:rsidRPr="42B523E3">
          <w:rPr>
            <w:rStyle w:val="Hyperlink"/>
            <w:lang w:val="en-TT"/>
          </w:rPr>
          <w:t>Corporate Governance Methodology</w:t>
        </w:r>
      </w:hyperlink>
      <w:r w:rsidRPr="42B523E3">
        <w:rPr>
          <w:lang w:val="en-TT"/>
        </w:rPr>
        <w:t xml:space="preserve"> to develop a framework and advice that focus specifically on climate. </w:t>
      </w:r>
    </w:p>
    <w:p w14:paraId="4647F056" w14:textId="77777777" w:rsidR="0058776A" w:rsidRPr="009A2BF4" w:rsidRDefault="0058776A" w:rsidP="0058776A">
      <w:pPr>
        <w:jc w:val="center"/>
      </w:pPr>
      <w:r w:rsidRPr="009A2BF4">
        <w:rPr>
          <w:noProof/>
        </w:rPr>
        <w:drawing>
          <wp:inline distT="0" distB="0" distL="0" distR="0" wp14:anchorId="50DBE570" wp14:editId="1EFDDD7F">
            <wp:extent cx="6316084" cy="185928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590" t="32137" r="12179" b="36866"/>
                    <a:stretch/>
                  </pic:blipFill>
                  <pic:spPr bwMode="auto">
                    <a:xfrm>
                      <a:off x="0" y="0"/>
                      <a:ext cx="6332905" cy="1864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539241" w14:textId="77777777" w:rsidR="00DE3D4F" w:rsidRDefault="00DE3D4F" w:rsidP="00A872CC">
      <w:pPr>
        <w:rPr>
          <w:b/>
          <w:bCs/>
        </w:rPr>
      </w:pPr>
    </w:p>
    <w:p w14:paraId="6EC34C3A" w14:textId="77777777" w:rsidR="00DE3D4F" w:rsidRDefault="00DE3D4F" w:rsidP="00A872CC">
      <w:pPr>
        <w:rPr>
          <w:b/>
          <w:bCs/>
        </w:rPr>
      </w:pPr>
    </w:p>
    <w:p w14:paraId="4C430234" w14:textId="4B1E9191" w:rsidR="00A872CC" w:rsidRPr="009A2BF4" w:rsidRDefault="00A872CC" w:rsidP="00A872CC">
      <w:pPr>
        <w:rPr>
          <w:b/>
          <w:bCs/>
        </w:rPr>
      </w:pPr>
      <w:r w:rsidRPr="009A2BF4">
        <w:rPr>
          <w:b/>
          <w:bCs/>
        </w:rPr>
        <w:lastRenderedPageBreak/>
        <w:t>What is the connection to IFC? Why does it matter?</w:t>
      </w:r>
    </w:p>
    <w:p w14:paraId="184F4F56" w14:textId="69AA7052" w:rsidR="0058776A" w:rsidRPr="009A2BF4" w:rsidRDefault="00A872CC">
      <w:r w:rsidRPr="009A2BF4">
        <w:rPr>
          <w:lang w:val="en-TT"/>
        </w:rPr>
        <w:t>This approach is to support efforts in assessing risk and building resilience of IFC’s clients, improving transparency standards and Paris Agreement alignment capacity, and contribut</w:t>
      </w:r>
      <w:r w:rsidR="00D2687D" w:rsidRPr="009A2BF4">
        <w:rPr>
          <w:lang w:val="en-TT"/>
        </w:rPr>
        <w:t>ing</w:t>
      </w:r>
      <w:r w:rsidRPr="009A2BF4">
        <w:rPr>
          <w:lang w:val="en-TT"/>
        </w:rPr>
        <w:t xml:space="preserve"> to market creation and mobilization by preparing prospective clients for development of climate strategies, risk framework</w:t>
      </w:r>
      <w:r w:rsidR="00FD3C16">
        <w:rPr>
          <w:lang w:val="en-TT"/>
        </w:rPr>
        <w:t>s</w:t>
      </w:r>
      <w:r w:rsidRPr="009A2BF4">
        <w:rPr>
          <w:lang w:val="en-TT"/>
        </w:rPr>
        <w:t xml:space="preserve"> and disclosure. It is also an IFC value-add product for mobilization and concessional financing partnerships, where IFC can build on its ESG trendsetter role and provide additional advice and roadmaps on climate governance.</w:t>
      </w:r>
    </w:p>
    <w:p w14:paraId="53A93104" w14:textId="3633C52B" w:rsidR="0058776A" w:rsidRPr="009A2BF4" w:rsidRDefault="0058776A">
      <w:pPr>
        <w:rPr>
          <w:b/>
          <w:bCs/>
        </w:rPr>
      </w:pPr>
      <w:r w:rsidRPr="009A2BF4">
        <w:rPr>
          <w:b/>
          <w:bCs/>
        </w:rPr>
        <w:t>Milestones</w:t>
      </w:r>
    </w:p>
    <w:p w14:paraId="28B85E3B" w14:textId="1D350C41" w:rsidR="00435E0E" w:rsidRPr="009A2BF4" w:rsidRDefault="00435E0E" w:rsidP="00435E0E">
      <w:pPr>
        <w:pStyle w:val="ListParagraph"/>
        <w:numPr>
          <w:ilvl w:val="0"/>
          <w:numId w:val="2"/>
        </w:numPr>
      </w:pPr>
      <w:r w:rsidRPr="009A2BF4">
        <w:t xml:space="preserve">In 2022, IFC developed the methodology (Climate Governance Matrix), training materials and auxiliary tools as a basis for the offering. The tools have been tested with ESG Advisory Program </w:t>
      </w:r>
      <w:r w:rsidR="00B37683" w:rsidRPr="009A2BF4">
        <w:t xml:space="preserve">partner institutions </w:t>
      </w:r>
      <w:r w:rsidR="00B37683">
        <w:t xml:space="preserve">from </w:t>
      </w:r>
      <w:r w:rsidR="009C4F77" w:rsidRPr="009A2BF4">
        <w:t>Europe and Central Asia</w:t>
      </w:r>
      <w:r w:rsidRPr="009A2BF4">
        <w:t xml:space="preserve">, and with one bank from India. </w:t>
      </w:r>
    </w:p>
    <w:p w14:paraId="1C769072" w14:textId="558AE67E" w:rsidR="0058776A" w:rsidRPr="009A2BF4" w:rsidRDefault="00435E0E" w:rsidP="00435E0E">
      <w:pPr>
        <w:pStyle w:val="ListParagraph"/>
        <w:numPr>
          <w:ilvl w:val="0"/>
          <w:numId w:val="2"/>
        </w:numPr>
      </w:pPr>
      <w:r w:rsidRPr="009A2BF4">
        <w:t xml:space="preserve">In 2023, following successful proof of concept, </w:t>
      </w:r>
      <w:r w:rsidR="00D2687D" w:rsidRPr="009A2BF4">
        <w:t xml:space="preserve">IFC will be integrating this offering into its ESG advisory and upstream </w:t>
      </w:r>
      <w:r w:rsidRPr="009A2BF4">
        <w:t xml:space="preserve">toolbox, training staff to deliver the offering and engage in core activities (see below). </w:t>
      </w:r>
    </w:p>
    <w:p w14:paraId="40E4A14E" w14:textId="4BA17EC5" w:rsidR="0058776A" w:rsidRPr="009A2BF4" w:rsidRDefault="0058776A">
      <w:pPr>
        <w:rPr>
          <w:b/>
          <w:bCs/>
        </w:rPr>
      </w:pPr>
      <w:r w:rsidRPr="009A2BF4">
        <w:rPr>
          <w:b/>
          <w:bCs/>
        </w:rPr>
        <w:t>Key publications</w:t>
      </w:r>
    </w:p>
    <w:p w14:paraId="0D8937C4" w14:textId="123E3E4F" w:rsidR="0058776A" w:rsidRPr="009A2BF4" w:rsidRDefault="00435E0E" w:rsidP="00435E0E">
      <w:pPr>
        <w:pStyle w:val="ListParagraph"/>
        <w:numPr>
          <w:ilvl w:val="0"/>
          <w:numId w:val="3"/>
        </w:numPr>
      </w:pPr>
      <w:r w:rsidRPr="009A2BF4">
        <w:t xml:space="preserve">IFC Climate Governance Matrix (finalized and to be published by </w:t>
      </w:r>
      <w:r w:rsidR="00F11D3B">
        <w:t>March</w:t>
      </w:r>
      <w:r w:rsidRPr="009A2BF4">
        <w:t xml:space="preserve"> 2023)</w:t>
      </w:r>
    </w:p>
    <w:p w14:paraId="5E108434" w14:textId="18ACEBFD" w:rsidR="00435E0E" w:rsidRPr="009A2BF4" w:rsidRDefault="00435E0E" w:rsidP="00435E0E">
      <w:pPr>
        <w:pStyle w:val="ListParagraph"/>
        <w:numPr>
          <w:ilvl w:val="0"/>
          <w:numId w:val="3"/>
        </w:numPr>
      </w:pPr>
      <w:r w:rsidRPr="009A2BF4">
        <w:t xml:space="preserve">IFC External Tip Sheet on Climate Governance (to be published in </w:t>
      </w:r>
      <w:r w:rsidR="00F11D3B">
        <w:t>March</w:t>
      </w:r>
      <w:r w:rsidRPr="009A2BF4">
        <w:t xml:space="preserve"> 2023)</w:t>
      </w:r>
    </w:p>
    <w:p w14:paraId="79124069" w14:textId="181C326C" w:rsidR="0058776A" w:rsidRDefault="0058776A">
      <w:pPr>
        <w:rPr>
          <w:b/>
          <w:bCs/>
        </w:rPr>
      </w:pPr>
      <w:r w:rsidRPr="009A2BF4">
        <w:rPr>
          <w:b/>
          <w:bCs/>
        </w:rPr>
        <w:t>What are IFC’s Climate Governance core activities?</w:t>
      </w:r>
    </w:p>
    <w:p w14:paraId="75DF5550" w14:textId="13CAE760" w:rsidR="00B71EC9" w:rsidRPr="00AA1959" w:rsidRDefault="00DC4CD5" w:rsidP="00B71EC9">
      <w:pPr>
        <w:jc w:val="both"/>
      </w:pPr>
      <w:r>
        <w:t>A</w:t>
      </w:r>
      <w:r w:rsidR="00B71EC9">
        <w:t>ctivities aim at</w:t>
      </w:r>
      <w:r>
        <w:t>:</w:t>
      </w:r>
      <w:r w:rsidR="00B71EC9">
        <w:t xml:space="preserve"> providing stakeholders at large with knowledge and guidance on climate governance</w:t>
      </w:r>
      <w:r>
        <w:t>;</w:t>
      </w:r>
      <w:r w:rsidR="00B71EC9">
        <w:t xml:space="preserve"> climate risks</w:t>
      </w:r>
      <w:r>
        <w:t xml:space="preserve"> mitigation</w:t>
      </w:r>
      <w:r w:rsidR="00B71EC9">
        <w:t xml:space="preserve"> in IFC’s own portfolio</w:t>
      </w:r>
      <w:r>
        <w:t>;</w:t>
      </w:r>
      <w:r w:rsidR="00B71EC9">
        <w:t xml:space="preserve"> support </w:t>
      </w:r>
      <w:r>
        <w:t>for</w:t>
      </w:r>
      <w:r w:rsidR="00B71EC9">
        <w:t xml:space="preserve"> clients in adopting and implementing climate governance frameworks and guid</w:t>
      </w:r>
      <w:r>
        <w:t>ance for</w:t>
      </w:r>
      <w:r w:rsidR="00B71EC9">
        <w:t xml:space="preserve"> regulators</w:t>
      </w:r>
      <w:r>
        <w:t>;</w:t>
      </w:r>
      <w:r w:rsidR="00B71EC9">
        <w:t xml:space="preserve"> </w:t>
      </w:r>
      <w:r>
        <w:t xml:space="preserve">and </w:t>
      </w:r>
      <w:r w:rsidR="00B71EC9">
        <w:t>build</w:t>
      </w:r>
      <w:r>
        <w:t>ing</w:t>
      </w:r>
      <w:r w:rsidR="00B71EC9">
        <w:t xml:space="preserve"> the capacity of standard setters and market intermediaries to steer markets towards good climate governance practices.</w:t>
      </w:r>
    </w:p>
    <w:p w14:paraId="72507A26" w14:textId="25E80542" w:rsidR="00270340" w:rsidRDefault="001D1DA7" w:rsidP="00270340">
      <w:pPr>
        <w:jc w:val="both"/>
      </w:pPr>
      <w:r>
        <w:rPr>
          <w:b/>
          <w:bCs/>
        </w:rPr>
        <w:t>Through p</w:t>
      </w:r>
      <w:r w:rsidR="00A61310" w:rsidRPr="009A2BF4">
        <w:rPr>
          <w:b/>
          <w:bCs/>
        </w:rPr>
        <w:t>artnerships with climate stakeholders</w:t>
      </w:r>
      <w:r>
        <w:rPr>
          <w:b/>
          <w:bCs/>
        </w:rPr>
        <w:t xml:space="preserve">, </w:t>
      </w:r>
      <w:r w:rsidR="00270340">
        <w:t>IFC will contribute with its climate governance</w:t>
      </w:r>
      <w:r w:rsidR="00270340" w:rsidRPr="009A2BF4">
        <w:t xml:space="preserve"> approach to ongoing efforts</w:t>
      </w:r>
      <w:r w:rsidR="00C12757">
        <w:t xml:space="preserve"> by working with investors, </w:t>
      </w:r>
      <w:proofErr w:type="gramStart"/>
      <w:r w:rsidR="00C12757">
        <w:t>organizations</w:t>
      </w:r>
      <w:proofErr w:type="gramEnd"/>
      <w:r w:rsidR="00C12757">
        <w:t xml:space="preserve"> and platforms active in climate action</w:t>
      </w:r>
      <w:r w:rsidR="00270340">
        <w:t>.</w:t>
      </w:r>
    </w:p>
    <w:p w14:paraId="7C852611" w14:textId="4C8208FB" w:rsidR="00BE677D" w:rsidRPr="009A2BF4" w:rsidRDefault="00BE677D" w:rsidP="00270340">
      <w:pPr>
        <w:jc w:val="both"/>
      </w:pPr>
      <w:r w:rsidRPr="00BE677D">
        <w:rPr>
          <w:noProof/>
        </w:rPr>
        <w:drawing>
          <wp:inline distT="0" distB="0" distL="0" distR="0" wp14:anchorId="339F6F48" wp14:editId="76C2DBAA">
            <wp:extent cx="5943600" cy="2817495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88516" w14:textId="63BB3535" w:rsidR="00036B50" w:rsidRPr="009A2BF4" w:rsidRDefault="007142E5" w:rsidP="00036B50">
      <w:pPr>
        <w:pStyle w:val="ListParagraph"/>
        <w:numPr>
          <w:ilvl w:val="0"/>
          <w:numId w:val="1"/>
        </w:numPr>
        <w:ind w:left="360"/>
        <w:jc w:val="both"/>
      </w:pPr>
      <w:r w:rsidRPr="009A2BF4">
        <w:rPr>
          <w:b/>
          <w:bCs/>
          <w:i/>
          <w:iCs/>
        </w:rPr>
        <w:lastRenderedPageBreak/>
        <w:t>Standard setting and thought leadership</w:t>
      </w:r>
      <w:r w:rsidRPr="009A2BF4">
        <w:t xml:space="preserve">: </w:t>
      </w:r>
      <w:r w:rsidR="00DC4CD5">
        <w:t>b</w:t>
      </w:r>
      <w:r w:rsidRPr="009A2BF4">
        <w:t xml:space="preserve">uilding on </w:t>
      </w:r>
      <w:r w:rsidR="00036B50" w:rsidRPr="009A2BF4">
        <w:t>its</w:t>
      </w:r>
      <w:r w:rsidRPr="009A2BF4">
        <w:t xml:space="preserve"> ESG leadership role, IFC will promote </w:t>
      </w:r>
      <w:r w:rsidR="00036B50" w:rsidRPr="009A2BF4">
        <w:t>the recently developed</w:t>
      </w:r>
      <w:r w:rsidR="002A3A49" w:rsidRPr="009A2BF4">
        <w:t xml:space="preserve"> climate governance matrix </w:t>
      </w:r>
      <w:r w:rsidR="00036B50" w:rsidRPr="009A2BF4">
        <w:t>which</w:t>
      </w:r>
      <w:r w:rsidR="002A3A49" w:rsidRPr="009A2BF4">
        <w:t xml:space="preserve"> assess</w:t>
      </w:r>
      <w:r w:rsidR="00036B50" w:rsidRPr="009A2BF4">
        <w:t>es</w:t>
      </w:r>
      <w:r w:rsidR="002A3A49" w:rsidRPr="009A2BF4">
        <w:t xml:space="preserve"> climate governance at the company level, starting from basic to international best practice. The matrix can be used by investors and companies to assess company-level climate governance risk or as a roadmap to improve climate governance practices.</w:t>
      </w:r>
      <w:r w:rsidRPr="009A2BF4">
        <w:t xml:space="preserve"> IFC will also develop thought leadership products to equip clients, </w:t>
      </w:r>
      <w:proofErr w:type="gramStart"/>
      <w:r w:rsidRPr="009A2BF4">
        <w:t>investors</w:t>
      </w:r>
      <w:proofErr w:type="gramEnd"/>
      <w:r w:rsidRPr="009A2BF4">
        <w:t xml:space="preserve"> and partners in furthering the climate governance agenda and will be integrating climate into its existing </w:t>
      </w:r>
      <w:r w:rsidR="005E23FE">
        <w:t xml:space="preserve">corporate </w:t>
      </w:r>
      <w:r w:rsidRPr="009A2BF4">
        <w:t>governance tools.</w:t>
      </w:r>
    </w:p>
    <w:p w14:paraId="7E12B1A7" w14:textId="3A42191A" w:rsidR="00036B50" w:rsidRPr="009A2BF4" w:rsidRDefault="30169113" w:rsidP="00036B50">
      <w:pPr>
        <w:pStyle w:val="ListParagraph"/>
        <w:numPr>
          <w:ilvl w:val="0"/>
          <w:numId w:val="1"/>
        </w:numPr>
        <w:ind w:left="360"/>
        <w:jc w:val="both"/>
      </w:pPr>
      <w:r w:rsidRPr="42B523E3">
        <w:rPr>
          <w:b/>
          <w:bCs/>
          <w:i/>
          <w:iCs/>
        </w:rPr>
        <w:t>Risk mitigation</w:t>
      </w:r>
      <w:r>
        <w:t xml:space="preserve">: IFC will routinely incorporate climate governance mitigants in the IFC physical risk assessments </w:t>
      </w:r>
      <w:r w:rsidR="1B7C7B5E">
        <w:t xml:space="preserve">(a joint effort by </w:t>
      </w:r>
      <w:r w:rsidR="10790996">
        <w:t xml:space="preserve">the </w:t>
      </w:r>
      <w:r w:rsidR="1B7C7B5E">
        <w:t xml:space="preserve">Climate Business (CDB) and Sustainability and Gender Solutions (CEG) departments) </w:t>
      </w:r>
      <w:r>
        <w:t xml:space="preserve">and </w:t>
      </w:r>
      <w:proofErr w:type="gramStart"/>
      <w:r>
        <w:t>recommendations</w:t>
      </w:r>
      <w:r w:rsidR="2871F20E">
        <w:t>,</w:t>
      </w:r>
      <w:r>
        <w:t xml:space="preserve"> </w:t>
      </w:r>
      <w:r w:rsidR="043D31B0">
        <w:t>and</w:t>
      </w:r>
      <w:proofErr w:type="gramEnd"/>
      <w:r>
        <w:t xml:space="preserve"> include climate governance in corporate governance due diligence for high climate risk projects.</w:t>
      </w:r>
      <w:r w:rsidR="0FE9D1A1">
        <w:t xml:space="preserve"> </w:t>
      </w:r>
      <w:r w:rsidR="58E3279E">
        <w:t>Climate</w:t>
      </w:r>
      <w:r w:rsidR="0FE9D1A1">
        <w:t xml:space="preserve"> governance </w:t>
      </w:r>
      <w:r w:rsidR="416D374B">
        <w:t xml:space="preserve">diligence </w:t>
      </w:r>
      <w:r w:rsidR="0FE9D1A1">
        <w:t>will complement the E&amp;S risk assessment as an ancillary tool used to increase client capacity for managing climate risks and capturing the climate solutions upside.</w:t>
      </w:r>
    </w:p>
    <w:p w14:paraId="7FB7241D" w14:textId="407FACA9" w:rsidR="00036B50" w:rsidRPr="009A2BF4" w:rsidRDefault="30169113" w:rsidP="00036B50">
      <w:pPr>
        <w:pStyle w:val="ListParagraph"/>
        <w:numPr>
          <w:ilvl w:val="0"/>
          <w:numId w:val="1"/>
        </w:numPr>
        <w:ind w:left="360"/>
        <w:jc w:val="both"/>
      </w:pPr>
      <w:r w:rsidRPr="42B523E3">
        <w:rPr>
          <w:b/>
          <w:bCs/>
          <w:i/>
          <w:iCs/>
        </w:rPr>
        <w:t>Client support</w:t>
      </w:r>
      <w:r>
        <w:t xml:space="preserve"> will include in-depth advisory services on creating a climate governance framework, </w:t>
      </w:r>
      <w:proofErr w:type="gramStart"/>
      <w:r>
        <w:t>controls</w:t>
      </w:r>
      <w:proofErr w:type="gramEnd"/>
      <w:r>
        <w:t xml:space="preserve"> and compliance; </w:t>
      </w:r>
      <w:r w:rsidR="7A395EFA">
        <w:t>conducting</w:t>
      </w:r>
      <w:r>
        <w:t xml:space="preserve"> sustainability/climate reporting; and </w:t>
      </w:r>
      <w:r w:rsidR="0FA806F0">
        <w:t>setting up climate</w:t>
      </w:r>
      <w:r>
        <w:t xml:space="preserve"> risk screening for financial institutions.</w:t>
      </w:r>
      <w:r w:rsidR="73EC9146">
        <w:t xml:space="preserve"> I</w:t>
      </w:r>
      <w:r w:rsidR="2871F20E">
        <w:t>FC</w:t>
      </w:r>
      <w:r w:rsidR="73EC9146">
        <w:t xml:space="preserve"> will train board</w:t>
      </w:r>
      <w:r w:rsidR="0C7C0273">
        <w:t>s</w:t>
      </w:r>
      <w:r w:rsidR="73EC9146">
        <w:t xml:space="preserve"> and senior management on adopting a climate governance framework and overseeing </w:t>
      </w:r>
      <w:r w:rsidR="01EFBF79">
        <w:t>the climate risks of their operations.</w:t>
      </w:r>
    </w:p>
    <w:p w14:paraId="4A88ECF0" w14:textId="4B9BD9FF" w:rsidR="00036B50" w:rsidRPr="009A2BF4" w:rsidRDefault="00E12468" w:rsidP="00036B5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bCs/>
          <w:i/>
          <w:iCs/>
        </w:rPr>
        <w:t>Market creation</w:t>
      </w:r>
      <w:r w:rsidR="00DC4CD5" w:rsidRPr="00DC4CD5">
        <w:t>:</w:t>
      </w:r>
      <w:r w:rsidRPr="00DC4CD5">
        <w:t xml:space="preserve"> </w:t>
      </w:r>
      <w:r w:rsidR="00DC4CD5" w:rsidRPr="00DC4CD5">
        <w:t>t</w:t>
      </w:r>
      <w:r>
        <w:t xml:space="preserve">o level the playing </w:t>
      </w:r>
      <w:r w:rsidR="00F544DD">
        <w:t xml:space="preserve">field </w:t>
      </w:r>
      <w:r>
        <w:t>and accelerate the adoption of climate governance</w:t>
      </w:r>
      <w:r w:rsidR="006142F0">
        <w:t xml:space="preserve">, IFC will provide advice to </w:t>
      </w:r>
      <w:r w:rsidR="00E5155D">
        <w:t xml:space="preserve">financial regulators, exchanges and industry associations on </w:t>
      </w:r>
      <w:r w:rsidR="00730BF9">
        <w:t>promulgating guidance</w:t>
      </w:r>
      <w:r w:rsidR="00F544DD">
        <w:t>, codes</w:t>
      </w:r>
      <w:r w:rsidR="00730BF9">
        <w:t xml:space="preserve"> and regulations</w:t>
      </w:r>
      <w:r w:rsidR="00F544DD">
        <w:t xml:space="preserve"> on climate governance and reporting. It will build the capacity of </w:t>
      </w:r>
      <w:r w:rsidR="00CA2E38">
        <w:t xml:space="preserve">local </w:t>
      </w:r>
      <w:r w:rsidR="00486144">
        <w:t xml:space="preserve">market intermediaries (ESG training and consulting organizations) to </w:t>
      </w:r>
      <w:r w:rsidR="00CA2E38">
        <w:t xml:space="preserve">offer climate governance </w:t>
      </w:r>
      <w:r w:rsidR="00A4799C">
        <w:t xml:space="preserve">training and services. </w:t>
      </w:r>
      <w:r w:rsidR="00580935" w:rsidRPr="009A2BF4">
        <w:t xml:space="preserve">This </w:t>
      </w:r>
      <w:r w:rsidR="00901428" w:rsidRPr="009A2BF4">
        <w:t xml:space="preserve">work </w:t>
      </w:r>
      <w:r w:rsidR="00580935" w:rsidRPr="009A2BF4">
        <w:t>will</w:t>
      </w:r>
      <w:r w:rsidR="00901428" w:rsidRPr="009A2BF4">
        <w:t xml:space="preserve"> also</w:t>
      </w:r>
      <w:r w:rsidR="00580935" w:rsidRPr="009A2BF4">
        <w:t xml:space="preserve"> build on the award-winning </w:t>
      </w:r>
      <w:hyperlink r:id="rId11" w:history="1">
        <w:r w:rsidR="00580935" w:rsidRPr="009A2BF4">
          <w:rPr>
            <w:rStyle w:val="Hyperlink"/>
          </w:rPr>
          <w:t>Beyond the Balance Sheet: Disclosure and Transparency Toolkit</w:t>
        </w:r>
      </w:hyperlink>
      <w:r w:rsidR="00580935" w:rsidRPr="009A2BF4">
        <w:t xml:space="preserve"> </w:t>
      </w:r>
      <w:r w:rsidR="00901428" w:rsidRPr="009A2BF4">
        <w:t xml:space="preserve">with </w:t>
      </w:r>
      <w:r w:rsidR="00580935" w:rsidRPr="009A2BF4">
        <w:t>advice on climate risk reporting and broader disclosure issues.</w:t>
      </w:r>
    </w:p>
    <w:p w14:paraId="3DE7EF37" w14:textId="05D0F7A3" w:rsidR="0058776A" w:rsidRPr="009A2BF4" w:rsidRDefault="0058776A"/>
    <w:sectPr w:rsidR="0058776A" w:rsidRPr="009A2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A6F2F" w14:textId="77777777" w:rsidR="00682805" w:rsidRDefault="00682805" w:rsidP="0058776A">
      <w:pPr>
        <w:spacing w:after="0" w:line="240" w:lineRule="auto"/>
      </w:pPr>
      <w:r>
        <w:separator/>
      </w:r>
    </w:p>
  </w:endnote>
  <w:endnote w:type="continuationSeparator" w:id="0">
    <w:p w14:paraId="14AEEF45" w14:textId="77777777" w:rsidR="00682805" w:rsidRDefault="00682805" w:rsidP="0058776A">
      <w:pPr>
        <w:spacing w:after="0" w:line="240" w:lineRule="auto"/>
      </w:pPr>
      <w:r>
        <w:continuationSeparator/>
      </w:r>
    </w:p>
  </w:endnote>
  <w:endnote w:type="continuationNotice" w:id="1">
    <w:p w14:paraId="16389319" w14:textId="77777777" w:rsidR="00682805" w:rsidRDefault="006828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C65E" w14:textId="77777777" w:rsidR="00682805" w:rsidRDefault="00682805" w:rsidP="0058776A">
      <w:pPr>
        <w:spacing w:after="0" w:line="240" w:lineRule="auto"/>
      </w:pPr>
      <w:r>
        <w:separator/>
      </w:r>
    </w:p>
  </w:footnote>
  <w:footnote w:type="continuationSeparator" w:id="0">
    <w:p w14:paraId="23FFC359" w14:textId="77777777" w:rsidR="00682805" w:rsidRDefault="00682805" w:rsidP="0058776A">
      <w:pPr>
        <w:spacing w:after="0" w:line="240" w:lineRule="auto"/>
      </w:pPr>
      <w:r>
        <w:continuationSeparator/>
      </w:r>
    </w:p>
  </w:footnote>
  <w:footnote w:type="continuationNotice" w:id="1">
    <w:p w14:paraId="66EEBDA7" w14:textId="77777777" w:rsidR="00682805" w:rsidRDefault="00682805">
      <w:pPr>
        <w:spacing w:after="0" w:line="240" w:lineRule="auto"/>
      </w:pPr>
    </w:p>
  </w:footnote>
  <w:footnote w:id="2">
    <w:p w14:paraId="5527B163" w14:textId="07CD9365" w:rsidR="42B523E3" w:rsidRDefault="42B523E3" w:rsidP="42B523E3">
      <w:pPr>
        <w:pStyle w:val="FootnoteText"/>
      </w:pPr>
      <w:r w:rsidRPr="42B523E3">
        <w:rPr>
          <w:rStyle w:val="FootnoteReference"/>
        </w:rPr>
        <w:footnoteRef/>
      </w:r>
      <w:r>
        <w:t xml:space="preserve"> See </w:t>
      </w:r>
      <w:hyperlink r:id="rId1" w:history="1">
        <w:r w:rsidRPr="42B523E3">
          <w:rPr>
            <w:rStyle w:val="Hyperlink"/>
          </w:rPr>
          <w:t>https://www.fsb-tcfd.org/</w:t>
        </w:r>
      </w:hyperlink>
      <w:r>
        <w:t xml:space="preserve">, </w:t>
      </w:r>
      <w:hyperlink r:id="rId2" w:history="1">
        <w:r w:rsidRPr="42B523E3">
          <w:rPr>
            <w:rStyle w:val="Hyperlink"/>
          </w:rPr>
          <w:t>https://www.cdp.net/en/</w:t>
        </w:r>
      </w:hyperlink>
      <w:r>
        <w:t xml:space="preserve">, </w:t>
      </w:r>
      <w:hyperlink r:id="rId3" w:history="1">
        <w:r w:rsidRPr="42B523E3">
          <w:rPr>
            <w:rStyle w:val="Hyperlink"/>
          </w:rPr>
          <w:t>https://www.unpri.org/</w:t>
        </w:r>
      </w:hyperlink>
      <w:r>
        <w:t xml:space="preserve"> and </w:t>
      </w:r>
      <w:hyperlink r:id="rId4" w:history="1">
        <w:r w:rsidRPr="42B523E3">
          <w:rPr>
            <w:rStyle w:val="Hyperlink"/>
          </w:rPr>
          <w:t>https://www.ifrs.org/content/dam/ifrs/project/climate-related-disclosures/issb-exposure-draft-2022-2-climate-related-disclosures.pdf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E60F7"/>
    <w:multiLevelType w:val="hybridMultilevel"/>
    <w:tmpl w:val="453EC234"/>
    <w:lvl w:ilvl="0" w:tplc="9FAAA4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73771"/>
    <w:multiLevelType w:val="hybridMultilevel"/>
    <w:tmpl w:val="64AA66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11E9E"/>
    <w:multiLevelType w:val="hybridMultilevel"/>
    <w:tmpl w:val="9E3AB6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ED805"/>
    <w:multiLevelType w:val="hybridMultilevel"/>
    <w:tmpl w:val="46A2364A"/>
    <w:lvl w:ilvl="0" w:tplc="04DCE5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DCE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2C7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E0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87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AA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61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A8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08A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279572">
    <w:abstractNumId w:val="0"/>
  </w:num>
  <w:num w:numId="2" w16cid:durableId="213196573">
    <w:abstractNumId w:val="2"/>
  </w:num>
  <w:num w:numId="3" w16cid:durableId="817066670">
    <w:abstractNumId w:val="1"/>
  </w:num>
  <w:num w:numId="4" w16cid:durableId="791942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CwNDI2tTS3NDAwNjVR0lEKTi0uzszPAykwrAUACJ01ziwAAAA="/>
  </w:docVars>
  <w:rsids>
    <w:rsidRoot w:val="0058776A"/>
    <w:rsid w:val="00025608"/>
    <w:rsid w:val="00036B50"/>
    <w:rsid w:val="000D4221"/>
    <w:rsid w:val="001357BF"/>
    <w:rsid w:val="001629E0"/>
    <w:rsid w:val="001634B2"/>
    <w:rsid w:val="00196C75"/>
    <w:rsid w:val="001C3E16"/>
    <w:rsid w:val="001D1DA7"/>
    <w:rsid w:val="001F57BC"/>
    <w:rsid w:val="00270340"/>
    <w:rsid w:val="00292900"/>
    <w:rsid w:val="002A3A49"/>
    <w:rsid w:val="002D387A"/>
    <w:rsid w:val="00305BC2"/>
    <w:rsid w:val="00372186"/>
    <w:rsid w:val="003975C8"/>
    <w:rsid w:val="003A127A"/>
    <w:rsid w:val="00406F14"/>
    <w:rsid w:val="00435E0E"/>
    <w:rsid w:val="004669F2"/>
    <w:rsid w:val="00486144"/>
    <w:rsid w:val="004B5B63"/>
    <w:rsid w:val="004E18A1"/>
    <w:rsid w:val="00531E93"/>
    <w:rsid w:val="00580935"/>
    <w:rsid w:val="00581A59"/>
    <w:rsid w:val="0058776A"/>
    <w:rsid w:val="005B2DEF"/>
    <w:rsid w:val="005E23FE"/>
    <w:rsid w:val="006142F0"/>
    <w:rsid w:val="00621EF6"/>
    <w:rsid w:val="00624086"/>
    <w:rsid w:val="00634E2E"/>
    <w:rsid w:val="00650053"/>
    <w:rsid w:val="00682805"/>
    <w:rsid w:val="006B2A7C"/>
    <w:rsid w:val="00702C48"/>
    <w:rsid w:val="007142E5"/>
    <w:rsid w:val="0071474E"/>
    <w:rsid w:val="00730BF9"/>
    <w:rsid w:val="0076370C"/>
    <w:rsid w:val="0076681B"/>
    <w:rsid w:val="007C62F1"/>
    <w:rsid w:val="00803E0C"/>
    <w:rsid w:val="00807B19"/>
    <w:rsid w:val="00834978"/>
    <w:rsid w:val="008F7C71"/>
    <w:rsid w:val="00901428"/>
    <w:rsid w:val="009927E7"/>
    <w:rsid w:val="009A2BF4"/>
    <w:rsid w:val="009C4F77"/>
    <w:rsid w:val="00A177B6"/>
    <w:rsid w:val="00A256B0"/>
    <w:rsid w:val="00A4799C"/>
    <w:rsid w:val="00A53706"/>
    <w:rsid w:val="00A61310"/>
    <w:rsid w:val="00A872CC"/>
    <w:rsid w:val="00A95B4F"/>
    <w:rsid w:val="00AA1959"/>
    <w:rsid w:val="00AC5A9B"/>
    <w:rsid w:val="00AD51BD"/>
    <w:rsid w:val="00AD6313"/>
    <w:rsid w:val="00B021A1"/>
    <w:rsid w:val="00B372E9"/>
    <w:rsid w:val="00B37683"/>
    <w:rsid w:val="00B534DA"/>
    <w:rsid w:val="00B54A77"/>
    <w:rsid w:val="00B71EC9"/>
    <w:rsid w:val="00BE677D"/>
    <w:rsid w:val="00C00623"/>
    <w:rsid w:val="00C12757"/>
    <w:rsid w:val="00C66C39"/>
    <w:rsid w:val="00C7519E"/>
    <w:rsid w:val="00CA2E38"/>
    <w:rsid w:val="00D103A2"/>
    <w:rsid w:val="00D2687D"/>
    <w:rsid w:val="00D4746B"/>
    <w:rsid w:val="00DC4CD5"/>
    <w:rsid w:val="00DC781E"/>
    <w:rsid w:val="00DE3D4F"/>
    <w:rsid w:val="00DE6EFF"/>
    <w:rsid w:val="00E11C72"/>
    <w:rsid w:val="00E12468"/>
    <w:rsid w:val="00E5155D"/>
    <w:rsid w:val="00E52CCB"/>
    <w:rsid w:val="00E954F3"/>
    <w:rsid w:val="00EF4840"/>
    <w:rsid w:val="00F11D3B"/>
    <w:rsid w:val="00F228D8"/>
    <w:rsid w:val="00F23010"/>
    <w:rsid w:val="00F47536"/>
    <w:rsid w:val="00F544DD"/>
    <w:rsid w:val="00FD3C16"/>
    <w:rsid w:val="00FE69E6"/>
    <w:rsid w:val="00FF4C05"/>
    <w:rsid w:val="01EFBF79"/>
    <w:rsid w:val="02A9D13F"/>
    <w:rsid w:val="043D31B0"/>
    <w:rsid w:val="07444D65"/>
    <w:rsid w:val="09420650"/>
    <w:rsid w:val="0B1BDD34"/>
    <w:rsid w:val="0C7C0273"/>
    <w:rsid w:val="0D25D75C"/>
    <w:rsid w:val="0EED77BB"/>
    <w:rsid w:val="0FA806F0"/>
    <w:rsid w:val="0FE9D1A1"/>
    <w:rsid w:val="10790996"/>
    <w:rsid w:val="17AEDD88"/>
    <w:rsid w:val="18CA5291"/>
    <w:rsid w:val="190C160D"/>
    <w:rsid w:val="1B7C7B5E"/>
    <w:rsid w:val="1C223721"/>
    <w:rsid w:val="1DDE4192"/>
    <w:rsid w:val="21AC60D3"/>
    <w:rsid w:val="223A4396"/>
    <w:rsid w:val="2632360F"/>
    <w:rsid w:val="2871F20E"/>
    <w:rsid w:val="2A96636C"/>
    <w:rsid w:val="2B925894"/>
    <w:rsid w:val="2E460EE4"/>
    <w:rsid w:val="30169113"/>
    <w:rsid w:val="323F8DC2"/>
    <w:rsid w:val="34A70541"/>
    <w:rsid w:val="373BB084"/>
    <w:rsid w:val="3B7897D8"/>
    <w:rsid w:val="410EEE99"/>
    <w:rsid w:val="416D374B"/>
    <w:rsid w:val="42B523E3"/>
    <w:rsid w:val="452D8F9B"/>
    <w:rsid w:val="486D2DB3"/>
    <w:rsid w:val="4C52212C"/>
    <w:rsid w:val="4DC00F78"/>
    <w:rsid w:val="4DE87973"/>
    <w:rsid w:val="4F4CB41D"/>
    <w:rsid w:val="5591A3C9"/>
    <w:rsid w:val="58E3279E"/>
    <w:rsid w:val="5DE5A8AC"/>
    <w:rsid w:val="60D7BB07"/>
    <w:rsid w:val="61EE9966"/>
    <w:rsid w:val="67924C6E"/>
    <w:rsid w:val="6C463C40"/>
    <w:rsid w:val="6F504808"/>
    <w:rsid w:val="6F99F421"/>
    <w:rsid w:val="7112257F"/>
    <w:rsid w:val="737D3F54"/>
    <w:rsid w:val="73EC9146"/>
    <w:rsid w:val="78D02119"/>
    <w:rsid w:val="78E3B9D0"/>
    <w:rsid w:val="7A395EFA"/>
    <w:rsid w:val="7DD38516"/>
    <w:rsid w:val="7E0D3BB7"/>
    <w:rsid w:val="7EC99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32F63"/>
  <w15:chartTrackingRefBased/>
  <w15:docId w15:val="{832D0092-4E1D-4DC9-A876-87B24E39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58776A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776A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nhideWhenUsed/>
    <w:rsid w:val="005877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877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7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3A4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36B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B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B5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81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A59"/>
  </w:style>
  <w:style w:type="paragraph" w:styleId="Footer">
    <w:name w:val="footer"/>
    <w:basedOn w:val="Normal"/>
    <w:link w:val="FooterChar"/>
    <w:uiPriority w:val="99"/>
    <w:semiHidden/>
    <w:unhideWhenUsed/>
    <w:rsid w:val="00581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1A59"/>
  </w:style>
  <w:style w:type="character" w:styleId="CommentReference">
    <w:name w:val="annotation reference"/>
    <w:basedOn w:val="DefaultParagraphFont"/>
    <w:uiPriority w:val="99"/>
    <w:semiHidden/>
    <w:unhideWhenUsed/>
    <w:rsid w:val="003A12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c.org/wps/wcm/connect/topics_ext_content/ifc_external_corporate_site/ifc+cg/investment+services/corporate+governance+methodolog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penknowledge.worldbank.org/handle/10986/357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fc.org/wps/wcm/connect/topics_ext_content/ifc_external_corporate_site/ifc+cg/resources/toolkits+and+manuals/beyond+the+balance+sheet+-+ifc+toolkit+for+disclosure+and+transparency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pri.org/" TargetMode="External"/><Relationship Id="rId2" Type="http://schemas.openxmlformats.org/officeDocument/2006/relationships/hyperlink" Target="https://www.cdp.net/en/" TargetMode="External"/><Relationship Id="rId1" Type="http://schemas.openxmlformats.org/officeDocument/2006/relationships/hyperlink" Target="https://www.fsb-tcfd.org/" TargetMode="External"/><Relationship Id="rId4" Type="http://schemas.openxmlformats.org/officeDocument/2006/relationships/hyperlink" Target="https://www.ifrs.org/content/dam/ifrs/project/climate-related-disclosures/issb-exposure-draft-2022-2-climate-related-disclosu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Zupcevic</dc:creator>
  <cp:keywords/>
  <dc:description/>
  <cp:lastModifiedBy>Merima Zupcevic</cp:lastModifiedBy>
  <cp:revision>13</cp:revision>
  <dcterms:created xsi:type="dcterms:W3CDTF">2023-01-23T16:36:00Z</dcterms:created>
  <dcterms:modified xsi:type="dcterms:W3CDTF">2023-03-03T13:02:00Z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33de76078ea9b770a56f3d00e31866fe3ddf2a5106054d5f5923f67fe1da1ed9</vt:lpwstr>
  </property>
</Properties>
</file>